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015"/>
      </w:tblGrid>
      <w:tr w:rsidR="004668A2" w:rsidRPr="004668A2" w14:paraId="1AB43542" w14:textId="77777777" w:rsidTr="004668A2">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668A2" w:rsidRPr="004668A2" w14:paraId="639EDE48"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4668A2" w:rsidRPr="004668A2" w14:paraId="08743B31" w14:textId="77777777">
                    <w:trPr>
                      <w:trHeight w:val="180"/>
                      <w:tblCellSpacing w:w="0" w:type="dxa"/>
                    </w:trPr>
                    <w:tc>
                      <w:tcPr>
                        <w:tcW w:w="0" w:type="auto"/>
                        <w:shd w:val="clear" w:color="auto" w:fill="005CA9"/>
                        <w:vAlign w:val="center"/>
                        <w:hideMark/>
                      </w:tcPr>
                      <w:p w14:paraId="16B06736" w14:textId="49902598" w:rsidR="004668A2" w:rsidRPr="004668A2" w:rsidRDefault="004668A2" w:rsidP="004668A2">
                        <w:pPr>
                          <w:spacing w:after="0" w:line="240" w:lineRule="auto"/>
                          <w:jc w:val="right"/>
                          <w:rPr>
                            <w:rFonts w:ascii="Arial" w:eastAsia="Times New Roman" w:hAnsi="Arial" w:cs="Arial"/>
                            <w:color w:val="FFFFFF"/>
                            <w:sz w:val="18"/>
                            <w:szCs w:val="18"/>
                          </w:rPr>
                        </w:pPr>
                        <w:bookmarkStart w:id="0" w:name="_GoBack"/>
                        <w:bookmarkEnd w:id="0"/>
                        <w:r>
                          <w:rPr>
                            <w:rFonts w:ascii="Arial" w:eastAsia="Times New Roman" w:hAnsi="Arial" w:cs="Arial"/>
                            <w:color w:val="FFFFFF"/>
                            <w:sz w:val="18"/>
                            <w:szCs w:val="18"/>
                          </w:rPr>
                          <w:t xml:space="preserve">Farmer &amp; Associates          480-988-5446                                                           </w:t>
                        </w:r>
                        <w:r w:rsidRPr="004668A2">
                          <w:rPr>
                            <w:rFonts w:ascii="Arial" w:eastAsia="Times New Roman" w:hAnsi="Arial" w:cs="Arial"/>
                            <w:color w:val="FFFFFF"/>
                            <w:sz w:val="18"/>
                            <w:szCs w:val="18"/>
                          </w:rPr>
                          <w:t>  </w:t>
                        </w:r>
                      </w:p>
                    </w:tc>
                  </w:tr>
                </w:tbl>
                <w:p w14:paraId="6E0F7F98" w14:textId="77777777" w:rsidR="004668A2" w:rsidRPr="004668A2" w:rsidRDefault="004668A2" w:rsidP="004668A2">
                  <w:pPr>
                    <w:spacing w:after="0" w:line="240" w:lineRule="auto"/>
                    <w:rPr>
                      <w:rFonts w:ascii="Times New Roman" w:eastAsia="Times New Roman" w:hAnsi="Times New Roman" w:cs="Times New Roman"/>
                      <w:sz w:val="24"/>
                      <w:szCs w:val="24"/>
                    </w:rPr>
                  </w:pPr>
                </w:p>
              </w:tc>
            </w:tr>
          </w:tbl>
          <w:p w14:paraId="60C257EE" w14:textId="77777777" w:rsidR="004668A2" w:rsidRPr="004668A2" w:rsidRDefault="004668A2" w:rsidP="004668A2">
            <w:pPr>
              <w:spacing w:after="0" w:line="240" w:lineRule="auto"/>
              <w:rPr>
                <w:rFonts w:ascii="Arial" w:eastAsia="Times New Roman" w:hAnsi="Arial" w:cs="Arial"/>
                <w:color w:val="212121"/>
                <w:sz w:val="23"/>
                <w:szCs w:val="23"/>
              </w:rPr>
            </w:pPr>
          </w:p>
        </w:tc>
      </w:tr>
      <w:tr w:rsidR="004668A2" w:rsidRPr="004668A2" w14:paraId="5A672B4B" w14:textId="77777777" w:rsidTr="004668A2">
        <w:trPr>
          <w:trHeight w:val="105"/>
        </w:trPr>
        <w:tc>
          <w:tcPr>
            <w:tcW w:w="0" w:type="auto"/>
            <w:shd w:val="clear" w:color="auto" w:fill="FFFFFF"/>
            <w:vAlign w:val="center"/>
            <w:hideMark/>
          </w:tcPr>
          <w:p w14:paraId="0E6BD8C1" w14:textId="77777777" w:rsidR="004668A2" w:rsidRPr="004668A2" w:rsidRDefault="004668A2" w:rsidP="004668A2">
            <w:pPr>
              <w:spacing w:after="0" w:line="240" w:lineRule="auto"/>
              <w:rPr>
                <w:rFonts w:ascii="Arial" w:eastAsia="Times New Roman" w:hAnsi="Arial" w:cs="Arial"/>
                <w:color w:val="212121"/>
                <w:sz w:val="2"/>
                <w:szCs w:val="2"/>
              </w:rPr>
            </w:pPr>
            <w:r w:rsidRPr="004668A2">
              <w:rPr>
                <w:rFonts w:ascii="Arial" w:eastAsia="Times New Roman" w:hAnsi="Arial" w:cs="Arial"/>
                <w:color w:val="212121"/>
                <w:sz w:val="2"/>
                <w:szCs w:val="2"/>
              </w:rPr>
              <w:t> </w:t>
            </w:r>
          </w:p>
        </w:tc>
      </w:tr>
      <w:tr w:rsidR="004668A2" w:rsidRPr="004668A2" w14:paraId="75955164" w14:textId="77777777" w:rsidTr="004668A2">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668A2" w:rsidRPr="004668A2" w14:paraId="0A65ACF9"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4668A2" w:rsidRPr="004668A2" w14:paraId="4AD36E9D"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276"/>
                          <w:gridCol w:w="82"/>
                          <w:gridCol w:w="5642"/>
                        </w:tblGrid>
                        <w:tr w:rsidR="004668A2" w:rsidRPr="004668A2" w14:paraId="1E999406" w14:textId="77777777">
                          <w:trPr>
                            <w:tblCellSpacing w:w="0" w:type="dxa"/>
                          </w:trPr>
                          <w:tc>
                            <w:tcPr>
                              <w:tcW w:w="3270" w:type="dxa"/>
                              <w:vAlign w:val="center"/>
                              <w:hideMark/>
                            </w:tcPr>
                            <w:p w14:paraId="42F4CB84" w14:textId="77777777" w:rsidR="004668A2" w:rsidRPr="004668A2" w:rsidRDefault="004668A2" w:rsidP="004668A2">
                              <w:pPr>
                                <w:spacing w:after="0" w:line="240" w:lineRule="auto"/>
                                <w:rPr>
                                  <w:rFonts w:ascii="Arial" w:eastAsia="Times New Roman" w:hAnsi="Arial" w:cs="Arial"/>
                                  <w:sz w:val="24"/>
                                  <w:szCs w:val="24"/>
                                </w:rPr>
                              </w:pPr>
                              <w:r w:rsidRPr="004668A2">
                                <w:rPr>
                                  <w:rFonts w:ascii="Arial" w:eastAsia="Times New Roman" w:hAnsi="Arial" w:cs="Arial"/>
                                  <w:noProof/>
                                  <w:sz w:val="24"/>
                                  <w:szCs w:val="24"/>
                                </w:rPr>
                                <w:drawing>
                                  <wp:inline distT="0" distB="0" distL="0" distR="0" wp14:anchorId="6BD2282B" wp14:editId="785BEF41">
                                    <wp:extent cx="2080260" cy="1455420"/>
                                    <wp:effectExtent l="0" t="0" r="0" b="0"/>
                                    <wp:docPr id="2" name="Picture 2" descr="http://image.mail.independentmarketinggroup.net/lib/fe641570706407797213/m/3/5c79bd57-f7e6-4086-b0b5-89c8cf842f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mail.independentmarketinggroup.net/lib/fe641570706407797213/m/3/5c79bd57-f7e6-4086-b0b5-89c8cf842fc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0260" cy="1455420"/>
                                            </a:xfrm>
                                            <a:prstGeom prst="rect">
                                              <a:avLst/>
                                            </a:prstGeom>
                                            <a:noFill/>
                                            <a:ln>
                                              <a:noFill/>
                                            </a:ln>
                                          </pic:spPr>
                                        </pic:pic>
                                      </a:graphicData>
                                    </a:graphic>
                                  </wp:inline>
                                </w:drawing>
                              </w:r>
                            </w:p>
                          </w:tc>
                          <w:tc>
                            <w:tcPr>
                              <w:tcW w:w="0" w:type="auto"/>
                              <w:vAlign w:val="center"/>
                              <w:hideMark/>
                            </w:tcPr>
                            <w:p w14:paraId="443056AD" w14:textId="77777777" w:rsidR="004668A2" w:rsidRPr="004668A2" w:rsidRDefault="004668A2" w:rsidP="004668A2">
                              <w:pPr>
                                <w:spacing w:after="0" w:line="240" w:lineRule="auto"/>
                                <w:rPr>
                                  <w:rFonts w:ascii="Arial" w:eastAsia="Times New Roman" w:hAnsi="Arial" w:cs="Arial"/>
                                  <w:sz w:val="24"/>
                                  <w:szCs w:val="24"/>
                                </w:rPr>
                              </w:pPr>
                              <w:r w:rsidRPr="004668A2">
                                <w:rPr>
                                  <w:rFonts w:ascii="Arial" w:eastAsia="Times New Roman" w:hAnsi="Arial" w:cs="Arial"/>
                                  <w:sz w:val="24"/>
                                  <w:szCs w:val="24"/>
                                </w:rPr>
                                <w:t> </w:t>
                              </w:r>
                            </w:p>
                          </w:tc>
                          <w:tc>
                            <w:tcPr>
                              <w:tcW w:w="0" w:type="auto"/>
                              <w:tcBorders>
                                <w:left w:val="single" w:sz="48" w:space="0" w:color="005DAA"/>
                              </w:tcBorders>
                              <w:shd w:val="clear" w:color="auto" w:fill="005DAA"/>
                              <w:vAlign w:val="center"/>
                              <w:hideMark/>
                            </w:tcPr>
                            <w:p w14:paraId="0D7A0EE1" w14:textId="26C4690C" w:rsidR="004668A2" w:rsidRPr="004668A2" w:rsidRDefault="004668A2" w:rsidP="004668A2">
                              <w:pPr>
                                <w:spacing w:after="0" w:line="240" w:lineRule="auto"/>
                                <w:rPr>
                                  <w:rFonts w:ascii="Arial" w:eastAsia="Times New Roman" w:hAnsi="Arial" w:cs="Arial"/>
                                  <w:color w:val="FFFFFF"/>
                                  <w:sz w:val="54"/>
                                  <w:szCs w:val="54"/>
                                </w:rPr>
                              </w:pPr>
                              <w:r w:rsidRPr="004668A2">
                                <w:rPr>
                                  <w:rFonts w:ascii="Arial" w:eastAsia="Times New Roman" w:hAnsi="Arial" w:cs="Arial"/>
                                  <w:color w:val="FFFFFF"/>
                                  <w:sz w:val="54"/>
                                  <w:szCs w:val="54"/>
                                </w:rPr>
                                <w:t>CDs vs. Fixed</w:t>
                              </w:r>
                              <w:r w:rsidRPr="004668A2">
                                <w:rPr>
                                  <w:rFonts w:ascii="Arial" w:eastAsia="Times New Roman" w:hAnsi="Arial" w:cs="Arial"/>
                                  <w:color w:val="FFFFFF"/>
                                  <w:sz w:val="54"/>
                                  <w:szCs w:val="54"/>
                                </w:rPr>
                                <w:br/>
                                <w:t>Deferred Annuities</w:t>
                              </w:r>
                            </w:p>
                          </w:tc>
                        </w:tr>
                      </w:tbl>
                      <w:p w14:paraId="04D06C32" w14:textId="77777777" w:rsidR="004668A2" w:rsidRPr="004668A2" w:rsidRDefault="004668A2" w:rsidP="004668A2">
                        <w:pPr>
                          <w:spacing w:after="0" w:line="240" w:lineRule="auto"/>
                          <w:rPr>
                            <w:rFonts w:ascii="Arial" w:eastAsia="Times New Roman" w:hAnsi="Arial" w:cs="Arial"/>
                            <w:sz w:val="24"/>
                            <w:szCs w:val="24"/>
                          </w:rPr>
                        </w:pPr>
                      </w:p>
                    </w:tc>
                  </w:tr>
                  <w:tr w:rsidR="004668A2" w:rsidRPr="004668A2" w14:paraId="48B71738" w14:textId="77777777">
                    <w:trPr>
                      <w:trHeight w:val="300"/>
                      <w:tblCellSpacing w:w="0" w:type="dxa"/>
                    </w:trPr>
                    <w:tc>
                      <w:tcPr>
                        <w:tcW w:w="0" w:type="auto"/>
                        <w:vAlign w:val="center"/>
                        <w:hideMark/>
                      </w:tcPr>
                      <w:p w14:paraId="2C475C92"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r>
                  <w:tr w:rsidR="004668A2" w:rsidRPr="004668A2" w14:paraId="29CFBF45" w14:textId="77777777">
                    <w:trPr>
                      <w:tblCellSpacing w:w="0" w:type="dxa"/>
                    </w:trPr>
                    <w:tc>
                      <w:tcPr>
                        <w:tcW w:w="0" w:type="auto"/>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4668A2" w:rsidRPr="004668A2" w14:paraId="04B8BD64" w14:textId="77777777">
                          <w:trPr>
                            <w:tblCellSpacing w:w="0" w:type="dxa"/>
                            <w:jc w:val="center"/>
                          </w:trPr>
                          <w:tc>
                            <w:tcPr>
                              <w:tcW w:w="0" w:type="auto"/>
                              <w:vAlign w:val="center"/>
                              <w:hideMark/>
                            </w:tcPr>
                            <w:p w14:paraId="33029271" w14:textId="67F3334A" w:rsidR="004668A2" w:rsidRPr="004668A2" w:rsidRDefault="004668A2" w:rsidP="004668A2">
                              <w:pPr>
                                <w:spacing w:after="0" w:line="240" w:lineRule="auto"/>
                                <w:rPr>
                                  <w:rFonts w:ascii="Arial" w:eastAsia="Times New Roman" w:hAnsi="Arial" w:cs="Arial"/>
                                  <w:sz w:val="27"/>
                                  <w:szCs w:val="27"/>
                                </w:rPr>
                              </w:pPr>
                              <w:r w:rsidRPr="004668A2">
                                <w:rPr>
                                  <w:rFonts w:ascii="Arial" w:eastAsia="Times New Roman" w:hAnsi="Arial" w:cs="Arial"/>
                                  <w:sz w:val="27"/>
                                  <w:szCs w:val="27"/>
                                </w:rPr>
                                <w:t>For individuals concerned that their C</w:t>
                              </w:r>
                              <w:r w:rsidR="00D5383B">
                                <w:rPr>
                                  <w:rFonts w:ascii="Arial" w:eastAsia="Times New Roman" w:hAnsi="Arial" w:cs="Arial"/>
                                  <w:sz w:val="27"/>
                                  <w:szCs w:val="27"/>
                                </w:rPr>
                                <w:t>D</w:t>
                              </w:r>
                              <w:r w:rsidRPr="004668A2">
                                <w:rPr>
                                  <w:rFonts w:ascii="Arial" w:eastAsia="Times New Roman" w:hAnsi="Arial" w:cs="Arial"/>
                                  <w:sz w:val="27"/>
                                  <w:szCs w:val="27"/>
                                </w:rPr>
                                <w:t>s do not pay sufficient income and who are concerned that what income they make is taxed away by the U.S. Government in their increasing need to create revenue, a deferred annuity is an option to consider.</w:t>
                              </w:r>
                            </w:p>
                          </w:tc>
                        </w:tr>
                      </w:tbl>
                      <w:p w14:paraId="3E464B9E" w14:textId="77777777" w:rsidR="004668A2" w:rsidRPr="004668A2" w:rsidRDefault="004668A2" w:rsidP="004668A2">
                        <w:pPr>
                          <w:spacing w:after="0" w:line="240" w:lineRule="auto"/>
                          <w:rPr>
                            <w:rFonts w:ascii="Arial" w:eastAsia="Times New Roman" w:hAnsi="Arial" w:cs="Arial"/>
                            <w:sz w:val="24"/>
                            <w:szCs w:val="24"/>
                          </w:rPr>
                        </w:pPr>
                      </w:p>
                    </w:tc>
                  </w:tr>
                  <w:tr w:rsidR="004668A2" w:rsidRPr="004668A2" w14:paraId="1840C3F0" w14:textId="77777777">
                    <w:trPr>
                      <w:trHeight w:val="300"/>
                      <w:tblCellSpacing w:w="0" w:type="dxa"/>
                    </w:trPr>
                    <w:tc>
                      <w:tcPr>
                        <w:tcW w:w="0" w:type="auto"/>
                        <w:vAlign w:val="center"/>
                        <w:hideMark/>
                      </w:tcPr>
                      <w:p w14:paraId="21E98FDD"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r>
                  <w:tr w:rsidR="004668A2" w:rsidRPr="004668A2" w14:paraId="755625D6" w14:textId="77777777">
                    <w:trPr>
                      <w:tblCellSpacing w:w="0" w:type="dxa"/>
                    </w:trPr>
                    <w:tc>
                      <w:tcPr>
                        <w:tcW w:w="0" w:type="auto"/>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4668A2" w:rsidRPr="004668A2" w14:paraId="1169742F" w14:textId="77777777">
                          <w:trPr>
                            <w:tblCellSpacing w:w="0" w:type="dxa"/>
                            <w:jc w:val="center"/>
                          </w:trPr>
                          <w:tc>
                            <w:tcPr>
                              <w:tcW w:w="0" w:type="auto"/>
                              <w:vAlign w:val="center"/>
                              <w:hideMark/>
                            </w:tcPr>
                            <w:p w14:paraId="07A99FF0" w14:textId="7803837C" w:rsidR="004668A2" w:rsidRPr="004668A2" w:rsidRDefault="004668A2" w:rsidP="004668A2">
                              <w:pPr>
                                <w:spacing w:after="0" w:line="240" w:lineRule="auto"/>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Listed below are several differences between CDs and tax deferred annuities:</w:t>
                              </w:r>
                            </w:p>
                          </w:tc>
                        </w:tr>
                      </w:tbl>
                      <w:p w14:paraId="159AF92E" w14:textId="77777777" w:rsidR="004668A2" w:rsidRPr="004668A2" w:rsidRDefault="004668A2" w:rsidP="004668A2">
                        <w:pPr>
                          <w:spacing w:after="0" w:line="240" w:lineRule="auto"/>
                          <w:rPr>
                            <w:rFonts w:ascii="Arial" w:eastAsia="Times New Roman" w:hAnsi="Arial" w:cs="Arial"/>
                            <w:sz w:val="24"/>
                            <w:szCs w:val="24"/>
                          </w:rPr>
                        </w:pPr>
                      </w:p>
                    </w:tc>
                  </w:tr>
                  <w:tr w:rsidR="004668A2" w:rsidRPr="004668A2" w14:paraId="7D6F6DA9" w14:textId="77777777">
                    <w:trPr>
                      <w:trHeight w:val="300"/>
                      <w:tblCellSpacing w:w="0" w:type="dxa"/>
                    </w:trPr>
                    <w:tc>
                      <w:tcPr>
                        <w:tcW w:w="0" w:type="auto"/>
                        <w:vAlign w:val="center"/>
                        <w:hideMark/>
                      </w:tcPr>
                      <w:p w14:paraId="04F67191"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r>
                  <w:tr w:rsidR="004668A2" w:rsidRPr="004668A2" w14:paraId="68A945EB" w14:textId="77777777">
                    <w:trPr>
                      <w:tblCellSpacing w:w="0" w:type="dxa"/>
                    </w:trPr>
                    <w:tc>
                      <w:tcPr>
                        <w:tcW w:w="0" w:type="auto"/>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5340"/>
                          <w:gridCol w:w="1043"/>
                          <w:gridCol w:w="1117"/>
                        </w:tblGrid>
                        <w:tr w:rsidR="004668A2" w:rsidRPr="004668A2" w14:paraId="36B9EFE7" w14:textId="77777777">
                          <w:trPr>
                            <w:trHeight w:val="420"/>
                            <w:tblCellSpacing w:w="0" w:type="dxa"/>
                            <w:jc w:val="center"/>
                          </w:trPr>
                          <w:tc>
                            <w:tcPr>
                              <w:tcW w:w="5400" w:type="dxa"/>
                              <w:tcBorders>
                                <w:bottom w:val="single" w:sz="6" w:space="0" w:color="BFBFBF"/>
                              </w:tcBorders>
                              <w:vAlign w:val="center"/>
                              <w:hideMark/>
                            </w:tcPr>
                            <w:p w14:paraId="36CEF01F" w14:textId="77777777" w:rsidR="004668A2" w:rsidRPr="004668A2" w:rsidRDefault="004668A2" w:rsidP="004668A2">
                              <w:pPr>
                                <w:spacing w:after="0" w:line="240" w:lineRule="auto"/>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 </w:t>
                              </w:r>
                            </w:p>
                          </w:tc>
                          <w:tc>
                            <w:tcPr>
                              <w:tcW w:w="1050" w:type="dxa"/>
                              <w:tcBorders>
                                <w:bottom w:val="single" w:sz="6" w:space="0" w:color="BFBFBF"/>
                              </w:tcBorders>
                              <w:vAlign w:val="center"/>
                              <w:hideMark/>
                            </w:tcPr>
                            <w:p w14:paraId="3BDE9553"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CD</w:t>
                              </w:r>
                            </w:p>
                          </w:tc>
                          <w:tc>
                            <w:tcPr>
                              <w:tcW w:w="1050" w:type="dxa"/>
                              <w:tcBorders>
                                <w:bottom w:val="single" w:sz="6" w:space="0" w:color="BFBFBF"/>
                              </w:tcBorders>
                              <w:vAlign w:val="center"/>
                              <w:hideMark/>
                            </w:tcPr>
                            <w:p w14:paraId="6513769A"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Annuity</w:t>
                              </w:r>
                            </w:p>
                          </w:tc>
                        </w:tr>
                        <w:tr w:rsidR="004668A2" w:rsidRPr="004668A2" w14:paraId="3F770CA7" w14:textId="77777777">
                          <w:trPr>
                            <w:trHeight w:val="420"/>
                            <w:tblCellSpacing w:w="0" w:type="dxa"/>
                            <w:jc w:val="center"/>
                          </w:trPr>
                          <w:tc>
                            <w:tcPr>
                              <w:tcW w:w="5400" w:type="dxa"/>
                              <w:tcBorders>
                                <w:bottom w:val="single" w:sz="6" w:space="0" w:color="BFBFBF"/>
                              </w:tcBorders>
                              <w:vAlign w:val="center"/>
                              <w:hideMark/>
                            </w:tcPr>
                            <w:p w14:paraId="1635315C"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Will this product provide safety of principal?</w:t>
                              </w:r>
                            </w:p>
                          </w:tc>
                          <w:tc>
                            <w:tcPr>
                              <w:tcW w:w="0" w:type="auto"/>
                              <w:tcBorders>
                                <w:bottom w:val="single" w:sz="6" w:space="0" w:color="BFBFBF"/>
                              </w:tcBorders>
                              <w:vAlign w:val="center"/>
                              <w:hideMark/>
                            </w:tcPr>
                            <w:p w14:paraId="11B351FE"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c>
                            <w:tcPr>
                              <w:tcW w:w="0" w:type="auto"/>
                              <w:tcBorders>
                                <w:bottom w:val="single" w:sz="6" w:space="0" w:color="BFBFBF"/>
                              </w:tcBorders>
                              <w:vAlign w:val="center"/>
                              <w:hideMark/>
                            </w:tcPr>
                            <w:p w14:paraId="275D4043"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r w:rsidR="004668A2" w:rsidRPr="004668A2" w14:paraId="2B9F3064" w14:textId="77777777">
                          <w:trPr>
                            <w:trHeight w:val="420"/>
                            <w:tblCellSpacing w:w="0" w:type="dxa"/>
                            <w:jc w:val="center"/>
                          </w:trPr>
                          <w:tc>
                            <w:tcPr>
                              <w:tcW w:w="5400" w:type="dxa"/>
                              <w:tcBorders>
                                <w:bottom w:val="single" w:sz="6" w:space="0" w:color="BFBFBF"/>
                              </w:tcBorders>
                              <w:vAlign w:val="center"/>
                              <w:hideMark/>
                            </w:tcPr>
                            <w:p w14:paraId="552D32FD"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Access to principal? (subject to surrender charges)</w:t>
                              </w:r>
                              <w:r w:rsidRPr="004668A2">
                                <w:rPr>
                                  <w:rFonts w:ascii="Arial" w:eastAsia="Times New Roman" w:hAnsi="Arial" w:cs="Arial"/>
                                  <w:b/>
                                  <w:bCs/>
                                  <w:sz w:val="21"/>
                                  <w:szCs w:val="21"/>
                                  <w:vertAlign w:val="superscript"/>
                                </w:rPr>
                                <w:t>1</w:t>
                              </w:r>
                            </w:p>
                          </w:tc>
                          <w:tc>
                            <w:tcPr>
                              <w:tcW w:w="0" w:type="auto"/>
                              <w:tcBorders>
                                <w:bottom w:val="single" w:sz="6" w:space="0" w:color="BFBFBF"/>
                              </w:tcBorders>
                              <w:vAlign w:val="center"/>
                              <w:hideMark/>
                            </w:tcPr>
                            <w:p w14:paraId="420A0953"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c>
                            <w:tcPr>
                              <w:tcW w:w="0" w:type="auto"/>
                              <w:tcBorders>
                                <w:bottom w:val="single" w:sz="6" w:space="0" w:color="BFBFBF"/>
                              </w:tcBorders>
                              <w:vAlign w:val="center"/>
                              <w:hideMark/>
                            </w:tcPr>
                            <w:p w14:paraId="161480D5"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r w:rsidR="004668A2" w:rsidRPr="004668A2" w14:paraId="228B78D7" w14:textId="77777777">
                          <w:trPr>
                            <w:trHeight w:val="600"/>
                            <w:tblCellSpacing w:w="0" w:type="dxa"/>
                            <w:jc w:val="center"/>
                          </w:trPr>
                          <w:tc>
                            <w:tcPr>
                              <w:tcW w:w="5400" w:type="dxa"/>
                              <w:tcBorders>
                                <w:bottom w:val="single" w:sz="6" w:space="0" w:color="BFBFBF"/>
                              </w:tcBorders>
                              <w:vAlign w:val="center"/>
                              <w:hideMark/>
                            </w:tcPr>
                            <w:p w14:paraId="15102AF9"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Does the entire principal remain unreduced by commissions?</w:t>
                              </w:r>
                            </w:p>
                          </w:tc>
                          <w:tc>
                            <w:tcPr>
                              <w:tcW w:w="0" w:type="auto"/>
                              <w:tcBorders>
                                <w:bottom w:val="single" w:sz="6" w:space="0" w:color="BFBFBF"/>
                              </w:tcBorders>
                              <w:vAlign w:val="center"/>
                              <w:hideMark/>
                            </w:tcPr>
                            <w:p w14:paraId="284D403D"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c>
                            <w:tcPr>
                              <w:tcW w:w="0" w:type="auto"/>
                              <w:tcBorders>
                                <w:bottom w:val="single" w:sz="6" w:space="0" w:color="BFBFBF"/>
                              </w:tcBorders>
                              <w:vAlign w:val="center"/>
                              <w:hideMark/>
                            </w:tcPr>
                            <w:p w14:paraId="36A63D53"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r w:rsidR="004668A2" w:rsidRPr="004668A2" w14:paraId="233300D9" w14:textId="77777777">
                          <w:trPr>
                            <w:trHeight w:val="420"/>
                            <w:tblCellSpacing w:w="0" w:type="dxa"/>
                            <w:jc w:val="center"/>
                          </w:trPr>
                          <w:tc>
                            <w:tcPr>
                              <w:tcW w:w="5400" w:type="dxa"/>
                              <w:tcBorders>
                                <w:bottom w:val="single" w:sz="6" w:space="0" w:color="BFBFBF"/>
                              </w:tcBorders>
                              <w:vAlign w:val="center"/>
                              <w:hideMark/>
                            </w:tcPr>
                            <w:p w14:paraId="5BA781DB"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Will the product provide tax deferred growth?</w:t>
                              </w:r>
                              <w:r w:rsidRPr="004668A2">
                                <w:rPr>
                                  <w:rFonts w:ascii="Arial" w:eastAsia="Times New Roman" w:hAnsi="Arial" w:cs="Arial"/>
                                  <w:b/>
                                  <w:bCs/>
                                  <w:sz w:val="21"/>
                                  <w:szCs w:val="21"/>
                                  <w:vertAlign w:val="superscript"/>
                                </w:rPr>
                                <w:t>2</w:t>
                              </w:r>
                            </w:p>
                          </w:tc>
                          <w:tc>
                            <w:tcPr>
                              <w:tcW w:w="0" w:type="auto"/>
                              <w:tcBorders>
                                <w:bottom w:val="single" w:sz="6" w:space="0" w:color="BFBFBF"/>
                              </w:tcBorders>
                              <w:vAlign w:val="center"/>
                              <w:hideMark/>
                            </w:tcPr>
                            <w:p w14:paraId="442D9FC6"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NO</w:t>
                              </w:r>
                            </w:p>
                          </w:tc>
                          <w:tc>
                            <w:tcPr>
                              <w:tcW w:w="0" w:type="auto"/>
                              <w:tcBorders>
                                <w:bottom w:val="single" w:sz="6" w:space="0" w:color="BFBFBF"/>
                              </w:tcBorders>
                              <w:vAlign w:val="center"/>
                              <w:hideMark/>
                            </w:tcPr>
                            <w:p w14:paraId="25575A61"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r w:rsidR="004668A2" w:rsidRPr="004668A2" w14:paraId="79634A57" w14:textId="77777777">
                          <w:trPr>
                            <w:trHeight w:val="420"/>
                            <w:tblCellSpacing w:w="0" w:type="dxa"/>
                            <w:jc w:val="center"/>
                          </w:trPr>
                          <w:tc>
                            <w:tcPr>
                              <w:tcW w:w="5400" w:type="dxa"/>
                              <w:tcBorders>
                                <w:bottom w:val="single" w:sz="6" w:space="0" w:color="BFBFBF"/>
                              </w:tcBorders>
                              <w:vAlign w:val="center"/>
                              <w:hideMark/>
                            </w:tcPr>
                            <w:p w14:paraId="76B454DA"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Does the product provide for flexible contributions?</w:t>
                              </w:r>
                            </w:p>
                          </w:tc>
                          <w:tc>
                            <w:tcPr>
                              <w:tcW w:w="0" w:type="auto"/>
                              <w:tcBorders>
                                <w:bottom w:val="single" w:sz="6" w:space="0" w:color="BFBFBF"/>
                              </w:tcBorders>
                              <w:vAlign w:val="center"/>
                              <w:hideMark/>
                            </w:tcPr>
                            <w:p w14:paraId="7F282F18"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NO</w:t>
                              </w:r>
                            </w:p>
                          </w:tc>
                          <w:tc>
                            <w:tcPr>
                              <w:tcW w:w="0" w:type="auto"/>
                              <w:tcBorders>
                                <w:bottom w:val="single" w:sz="6" w:space="0" w:color="BFBFBF"/>
                              </w:tcBorders>
                              <w:vAlign w:val="center"/>
                              <w:hideMark/>
                            </w:tcPr>
                            <w:p w14:paraId="43A3AE52"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r w:rsidR="004668A2" w:rsidRPr="004668A2" w14:paraId="64845684" w14:textId="77777777">
                          <w:trPr>
                            <w:trHeight w:val="600"/>
                            <w:tblCellSpacing w:w="0" w:type="dxa"/>
                            <w:jc w:val="center"/>
                          </w:trPr>
                          <w:tc>
                            <w:tcPr>
                              <w:tcW w:w="5400" w:type="dxa"/>
                              <w:tcBorders>
                                <w:bottom w:val="single" w:sz="6" w:space="0" w:color="BFBFBF"/>
                              </w:tcBorders>
                              <w:vAlign w:val="center"/>
                              <w:hideMark/>
                            </w:tcPr>
                            <w:p w14:paraId="7127E18A"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Will this product avoid the costs and delays associated with probate?</w:t>
                              </w:r>
                              <w:r w:rsidRPr="004668A2">
                                <w:rPr>
                                  <w:rFonts w:ascii="Arial" w:eastAsia="Times New Roman" w:hAnsi="Arial" w:cs="Arial"/>
                                  <w:b/>
                                  <w:bCs/>
                                  <w:sz w:val="21"/>
                                  <w:szCs w:val="21"/>
                                  <w:vertAlign w:val="superscript"/>
                                </w:rPr>
                                <w:t>3</w:t>
                              </w:r>
                            </w:p>
                          </w:tc>
                          <w:tc>
                            <w:tcPr>
                              <w:tcW w:w="0" w:type="auto"/>
                              <w:tcBorders>
                                <w:bottom w:val="single" w:sz="6" w:space="0" w:color="BFBFBF"/>
                              </w:tcBorders>
                              <w:vAlign w:val="center"/>
                              <w:hideMark/>
                            </w:tcPr>
                            <w:p w14:paraId="220467BE"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NO</w:t>
                              </w:r>
                            </w:p>
                          </w:tc>
                          <w:tc>
                            <w:tcPr>
                              <w:tcW w:w="0" w:type="auto"/>
                              <w:tcBorders>
                                <w:bottom w:val="single" w:sz="6" w:space="0" w:color="BFBFBF"/>
                              </w:tcBorders>
                              <w:vAlign w:val="center"/>
                              <w:hideMark/>
                            </w:tcPr>
                            <w:p w14:paraId="1E0C9A33"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r w:rsidR="004668A2" w:rsidRPr="004668A2" w14:paraId="15A79F24" w14:textId="77777777">
                          <w:trPr>
                            <w:trHeight w:val="600"/>
                            <w:tblCellSpacing w:w="0" w:type="dxa"/>
                            <w:jc w:val="center"/>
                          </w:trPr>
                          <w:tc>
                            <w:tcPr>
                              <w:tcW w:w="5400" w:type="dxa"/>
                              <w:tcBorders>
                                <w:bottom w:val="single" w:sz="6" w:space="0" w:color="BFBFBF"/>
                              </w:tcBorders>
                              <w:vAlign w:val="center"/>
                              <w:hideMark/>
                            </w:tcPr>
                            <w:p w14:paraId="43F7E470"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Can earnings on the product be automatically recontributed without being currently taxed?</w:t>
                              </w:r>
                            </w:p>
                          </w:tc>
                          <w:tc>
                            <w:tcPr>
                              <w:tcW w:w="0" w:type="auto"/>
                              <w:tcBorders>
                                <w:bottom w:val="single" w:sz="6" w:space="0" w:color="BFBFBF"/>
                              </w:tcBorders>
                              <w:vAlign w:val="center"/>
                              <w:hideMark/>
                            </w:tcPr>
                            <w:p w14:paraId="18037867"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NO</w:t>
                              </w:r>
                            </w:p>
                          </w:tc>
                          <w:tc>
                            <w:tcPr>
                              <w:tcW w:w="0" w:type="auto"/>
                              <w:tcBorders>
                                <w:bottom w:val="single" w:sz="6" w:space="0" w:color="BFBFBF"/>
                              </w:tcBorders>
                              <w:vAlign w:val="center"/>
                              <w:hideMark/>
                            </w:tcPr>
                            <w:p w14:paraId="582EC77B"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r w:rsidR="004668A2" w:rsidRPr="004668A2" w14:paraId="01A10F4C" w14:textId="77777777">
                          <w:trPr>
                            <w:trHeight w:val="600"/>
                            <w:tblCellSpacing w:w="0" w:type="dxa"/>
                            <w:jc w:val="center"/>
                          </w:trPr>
                          <w:tc>
                            <w:tcPr>
                              <w:tcW w:w="5400" w:type="dxa"/>
                              <w:tcBorders>
                                <w:bottom w:val="single" w:sz="6" w:space="0" w:color="BFBFBF"/>
                              </w:tcBorders>
                              <w:vAlign w:val="center"/>
                              <w:hideMark/>
                            </w:tcPr>
                            <w:p w14:paraId="5A90D94E"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Can the product provide guaranteed lifetime income without the principal first being taxed?</w:t>
                              </w:r>
                            </w:p>
                          </w:tc>
                          <w:tc>
                            <w:tcPr>
                              <w:tcW w:w="0" w:type="auto"/>
                              <w:tcBorders>
                                <w:bottom w:val="single" w:sz="6" w:space="0" w:color="BFBFBF"/>
                              </w:tcBorders>
                              <w:vAlign w:val="center"/>
                              <w:hideMark/>
                            </w:tcPr>
                            <w:p w14:paraId="01ED6C24"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NO</w:t>
                              </w:r>
                            </w:p>
                          </w:tc>
                          <w:tc>
                            <w:tcPr>
                              <w:tcW w:w="0" w:type="auto"/>
                              <w:tcBorders>
                                <w:bottom w:val="single" w:sz="6" w:space="0" w:color="BFBFBF"/>
                              </w:tcBorders>
                              <w:vAlign w:val="center"/>
                              <w:hideMark/>
                            </w:tcPr>
                            <w:p w14:paraId="0C5A5CA6"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r w:rsidR="004668A2" w:rsidRPr="004668A2" w14:paraId="5A90FAC1" w14:textId="77777777">
                          <w:trPr>
                            <w:trHeight w:val="840"/>
                            <w:tblCellSpacing w:w="0" w:type="dxa"/>
                            <w:jc w:val="center"/>
                          </w:trPr>
                          <w:tc>
                            <w:tcPr>
                              <w:tcW w:w="5400" w:type="dxa"/>
                              <w:tcBorders>
                                <w:bottom w:val="single" w:sz="6" w:space="0" w:color="BFBFBF"/>
                              </w:tcBorders>
                              <w:vAlign w:val="center"/>
                              <w:hideMark/>
                            </w:tcPr>
                            <w:p w14:paraId="1AD4898E"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Can the product provide social security advantages by reducing taxable income that would make social security taxable?</w:t>
                              </w:r>
                            </w:p>
                          </w:tc>
                          <w:tc>
                            <w:tcPr>
                              <w:tcW w:w="0" w:type="auto"/>
                              <w:tcBorders>
                                <w:bottom w:val="single" w:sz="6" w:space="0" w:color="BFBFBF"/>
                              </w:tcBorders>
                              <w:vAlign w:val="center"/>
                              <w:hideMark/>
                            </w:tcPr>
                            <w:p w14:paraId="66ADC496"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NO</w:t>
                              </w:r>
                            </w:p>
                          </w:tc>
                          <w:tc>
                            <w:tcPr>
                              <w:tcW w:w="0" w:type="auto"/>
                              <w:tcBorders>
                                <w:bottom w:val="single" w:sz="6" w:space="0" w:color="BFBFBF"/>
                              </w:tcBorders>
                              <w:vAlign w:val="center"/>
                              <w:hideMark/>
                            </w:tcPr>
                            <w:p w14:paraId="335B8F30"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r w:rsidR="004668A2" w:rsidRPr="004668A2" w14:paraId="43DAED52" w14:textId="77777777">
                          <w:trPr>
                            <w:trHeight w:val="420"/>
                            <w:tblCellSpacing w:w="0" w:type="dxa"/>
                            <w:jc w:val="center"/>
                          </w:trPr>
                          <w:tc>
                            <w:tcPr>
                              <w:tcW w:w="5400" w:type="dxa"/>
                              <w:tcBorders>
                                <w:bottom w:val="single" w:sz="6" w:space="0" w:color="BFBFBF"/>
                              </w:tcBorders>
                              <w:vAlign w:val="center"/>
                              <w:hideMark/>
                            </w:tcPr>
                            <w:p w14:paraId="06F0A18C" w14:textId="77777777" w:rsidR="004668A2" w:rsidRPr="004668A2" w:rsidRDefault="004668A2" w:rsidP="004668A2">
                              <w:pPr>
                                <w:spacing w:after="0" w:line="240" w:lineRule="auto"/>
                                <w:rPr>
                                  <w:rFonts w:ascii="Arial" w:eastAsia="Times New Roman" w:hAnsi="Arial" w:cs="Arial"/>
                                  <w:b/>
                                  <w:bCs/>
                                  <w:sz w:val="21"/>
                                  <w:szCs w:val="21"/>
                                </w:rPr>
                              </w:pPr>
                              <w:r w:rsidRPr="004668A2">
                                <w:rPr>
                                  <w:rFonts w:ascii="Arial" w:eastAsia="Times New Roman" w:hAnsi="Arial" w:cs="Arial"/>
                                  <w:b/>
                                  <w:bCs/>
                                  <w:sz w:val="21"/>
                                  <w:szCs w:val="21"/>
                                </w:rPr>
                                <w:t>Can the product provide potentially higher yields?</w:t>
                              </w:r>
                            </w:p>
                          </w:tc>
                          <w:tc>
                            <w:tcPr>
                              <w:tcW w:w="0" w:type="auto"/>
                              <w:tcBorders>
                                <w:bottom w:val="single" w:sz="6" w:space="0" w:color="BFBFBF"/>
                              </w:tcBorders>
                              <w:vAlign w:val="center"/>
                              <w:hideMark/>
                            </w:tcPr>
                            <w:p w14:paraId="58722CC2"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NO</w:t>
                              </w:r>
                            </w:p>
                          </w:tc>
                          <w:tc>
                            <w:tcPr>
                              <w:tcW w:w="0" w:type="auto"/>
                              <w:tcBorders>
                                <w:bottom w:val="single" w:sz="6" w:space="0" w:color="BFBFBF"/>
                              </w:tcBorders>
                              <w:vAlign w:val="center"/>
                              <w:hideMark/>
                            </w:tcPr>
                            <w:p w14:paraId="2F2BF175" w14:textId="77777777" w:rsidR="004668A2" w:rsidRPr="004668A2" w:rsidRDefault="004668A2" w:rsidP="004668A2">
                              <w:pPr>
                                <w:spacing w:after="0" w:line="240" w:lineRule="auto"/>
                                <w:jc w:val="center"/>
                                <w:rPr>
                                  <w:rFonts w:ascii="Arial" w:eastAsia="Times New Roman" w:hAnsi="Arial" w:cs="Arial"/>
                                  <w:b/>
                                  <w:bCs/>
                                  <w:color w:val="005DAA"/>
                                  <w:sz w:val="30"/>
                                  <w:szCs w:val="30"/>
                                </w:rPr>
                              </w:pPr>
                              <w:r w:rsidRPr="004668A2">
                                <w:rPr>
                                  <w:rFonts w:ascii="Arial" w:eastAsia="Times New Roman" w:hAnsi="Arial" w:cs="Arial"/>
                                  <w:b/>
                                  <w:bCs/>
                                  <w:color w:val="005DAA"/>
                                  <w:sz w:val="30"/>
                                  <w:szCs w:val="30"/>
                                </w:rPr>
                                <w:t>YES</w:t>
                              </w:r>
                            </w:p>
                          </w:tc>
                        </w:tr>
                      </w:tbl>
                      <w:p w14:paraId="40CF3822" w14:textId="77777777" w:rsidR="004668A2" w:rsidRPr="004668A2" w:rsidRDefault="004668A2" w:rsidP="004668A2">
                        <w:pPr>
                          <w:spacing w:after="0" w:line="240" w:lineRule="auto"/>
                          <w:rPr>
                            <w:rFonts w:ascii="Arial" w:eastAsia="Times New Roman" w:hAnsi="Arial" w:cs="Arial"/>
                            <w:sz w:val="24"/>
                            <w:szCs w:val="24"/>
                          </w:rPr>
                        </w:pPr>
                      </w:p>
                    </w:tc>
                  </w:tr>
                  <w:tr w:rsidR="004668A2" w:rsidRPr="004668A2" w14:paraId="40676694" w14:textId="77777777">
                    <w:trPr>
                      <w:trHeight w:val="450"/>
                      <w:tblCellSpacing w:w="0" w:type="dxa"/>
                    </w:trPr>
                    <w:tc>
                      <w:tcPr>
                        <w:tcW w:w="0" w:type="auto"/>
                        <w:vAlign w:val="center"/>
                        <w:hideMark/>
                      </w:tcPr>
                      <w:p w14:paraId="40EC32D8"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r>
                  <w:tr w:rsidR="004668A2" w:rsidRPr="004668A2" w14:paraId="55286A95" w14:textId="77777777">
                    <w:trPr>
                      <w:tblCellSpacing w:w="0" w:type="dxa"/>
                    </w:trPr>
                    <w:tc>
                      <w:tcPr>
                        <w:tcW w:w="0" w:type="auto"/>
                        <w:vAlign w:val="center"/>
                        <w:hideMark/>
                      </w:tcPr>
                      <w:tbl>
                        <w:tblPr>
                          <w:tblW w:w="6570" w:type="dxa"/>
                          <w:jc w:val="center"/>
                          <w:tblCellSpacing w:w="0" w:type="dxa"/>
                          <w:shd w:val="clear" w:color="auto" w:fill="EE3124"/>
                          <w:tblCellMar>
                            <w:left w:w="0" w:type="dxa"/>
                            <w:right w:w="0" w:type="dxa"/>
                          </w:tblCellMar>
                          <w:tblLook w:val="04A0" w:firstRow="1" w:lastRow="0" w:firstColumn="1" w:lastColumn="0" w:noHBand="0" w:noVBand="1"/>
                        </w:tblPr>
                        <w:tblGrid>
                          <w:gridCol w:w="6570"/>
                        </w:tblGrid>
                        <w:tr w:rsidR="004668A2" w:rsidRPr="004668A2" w14:paraId="2C33A3AC" w14:textId="77777777">
                          <w:trPr>
                            <w:trHeight w:val="150"/>
                            <w:tblCellSpacing w:w="0" w:type="dxa"/>
                            <w:jc w:val="center"/>
                          </w:trPr>
                          <w:tc>
                            <w:tcPr>
                              <w:tcW w:w="0" w:type="auto"/>
                              <w:shd w:val="clear" w:color="auto" w:fill="EE3124"/>
                              <w:vAlign w:val="center"/>
                              <w:hideMark/>
                            </w:tcPr>
                            <w:p w14:paraId="59D71B00"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r>
                        <w:tr w:rsidR="004668A2" w:rsidRPr="004668A2" w14:paraId="20794E3B" w14:textId="77777777">
                          <w:trPr>
                            <w:tblCellSpacing w:w="0" w:type="dxa"/>
                            <w:jc w:val="center"/>
                          </w:trPr>
                          <w:tc>
                            <w:tcPr>
                              <w:tcW w:w="0" w:type="auto"/>
                              <w:shd w:val="clear" w:color="auto" w:fill="EE3124"/>
                              <w:vAlign w:val="center"/>
                              <w:hideMark/>
                            </w:tcPr>
                            <w:p w14:paraId="541ABAB3" w14:textId="6773C69D" w:rsidR="004668A2" w:rsidRPr="004668A2" w:rsidRDefault="004668A2" w:rsidP="004668A2">
                              <w:pPr>
                                <w:spacing w:after="0" w:line="240" w:lineRule="auto"/>
                                <w:jc w:val="center"/>
                                <w:rPr>
                                  <w:rFonts w:ascii="Arial" w:eastAsia="Times New Roman" w:hAnsi="Arial" w:cs="Arial"/>
                                  <w:sz w:val="24"/>
                                  <w:szCs w:val="24"/>
                                </w:rPr>
                              </w:pPr>
                              <w:r>
                                <w:rPr>
                                  <w:rFonts w:ascii="Arial" w:eastAsia="Times New Roman" w:hAnsi="Arial" w:cs="Arial"/>
                                  <w:sz w:val="24"/>
                                  <w:szCs w:val="24"/>
                                </w:rPr>
                                <w:t>Let Us Review These Benefits With You</w:t>
                              </w:r>
                            </w:p>
                          </w:tc>
                        </w:tr>
                        <w:tr w:rsidR="004668A2" w:rsidRPr="004668A2" w14:paraId="64759AC3" w14:textId="77777777">
                          <w:trPr>
                            <w:trHeight w:val="150"/>
                            <w:tblCellSpacing w:w="0" w:type="dxa"/>
                            <w:jc w:val="center"/>
                          </w:trPr>
                          <w:tc>
                            <w:tcPr>
                              <w:tcW w:w="0" w:type="auto"/>
                              <w:shd w:val="clear" w:color="auto" w:fill="EE3124"/>
                              <w:vAlign w:val="center"/>
                              <w:hideMark/>
                            </w:tcPr>
                            <w:p w14:paraId="68BAE1CE"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r>
                      </w:tbl>
                      <w:p w14:paraId="0EBF1F82" w14:textId="77777777" w:rsidR="004668A2" w:rsidRPr="004668A2" w:rsidRDefault="004668A2" w:rsidP="004668A2">
                        <w:pPr>
                          <w:spacing w:after="0" w:line="240" w:lineRule="auto"/>
                          <w:rPr>
                            <w:rFonts w:ascii="Arial" w:eastAsia="Times New Roman" w:hAnsi="Arial" w:cs="Arial"/>
                            <w:sz w:val="24"/>
                            <w:szCs w:val="24"/>
                          </w:rPr>
                        </w:pPr>
                      </w:p>
                    </w:tc>
                  </w:tr>
                  <w:tr w:rsidR="004668A2" w:rsidRPr="004668A2" w14:paraId="7BB26B96" w14:textId="77777777">
                    <w:trPr>
                      <w:trHeight w:val="450"/>
                      <w:tblCellSpacing w:w="0" w:type="dxa"/>
                    </w:trPr>
                    <w:tc>
                      <w:tcPr>
                        <w:tcW w:w="0" w:type="auto"/>
                        <w:vAlign w:val="center"/>
                        <w:hideMark/>
                      </w:tcPr>
                      <w:p w14:paraId="0A8DC45A"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r>
                  <w:tr w:rsidR="004668A2" w:rsidRPr="004668A2" w14:paraId="0D1E1B72" w14:textId="77777777">
                    <w:trPr>
                      <w:tblCellSpacing w:w="0" w:type="dxa"/>
                    </w:trPr>
                    <w:tc>
                      <w:tcPr>
                        <w:tcW w:w="0" w:type="auto"/>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180"/>
                          <w:gridCol w:w="8520"/>
                        </w:tblGrid>
                        <w:tr w:rsidR="004668A2" w:rsidRPr="004668A2" w14:paraId="66E8A2AB" w14:textId="77777777">
                          <w:trPr>
                            <w:tblCellSpacing w:w="0" w:type="dxa"/>
                            <w:jc w:val="center"/>
                          </w:trPr>
                          <w:tc>
                            <w:tcPr>
                              <w:tcW w:w="0" w:type="auto"/>
                              <w:gridSpan w:val="2"/>
                              <w:vAlign w:val="center"/>
                              <w:hideMark/>
                            </w:tcPr>
                            <w:p w14:paraId="06D650DB" w14:textId="77777777" w:rsidR="004668A2" w:rsidRPr="004668A2" w:rsidRDefault="004668A2" w:rsidP="004668A2">
                              <w:pPr>
                                <w:spacing w:after="0" w:line="240" w:lineRule="auto"/>
                                <w:rPr>
                                  <w:rFonts w:ascii="Arial" w:eastAsia="Times New Roman" w:hAnsi="Arial" w:cs="Arial"/>
                                  <w:b/>
                                  <w:bCs/>
                                  <w:color w:val="005DAA"/>
                                  <w:sz w:val="21"/>
                                  <w:szCs w:val="21"/>
                                  <w:u w:val="single"/>
                                </w:rPr>
                              </w:pPr>
                              <w:r w:rsidRPr="004668A2">
                                <w:rPr>
                                  <w:rFonts w:ascii="Arial" w:eastAsia="Times New Roman" w:hAnsi="Arial" w:cs="Arial"/>
                                  <w:b/>
                                  <w:bCs/>
                                  <w:color w:val="005DAA"/>
                                  <w:sz w:val="21"/>
                                  <w:szCs w:val="21"/>
                                  <w:u w:val="single"/>
                                </w:rPr>
                                <w:lastRenderedPageBreak/>
                                <w:t>Things to Consider:</w:t>
                              </w:r>
                            </w:p>
                          </w:tc>
                        </w:tr>
                        <w:tr w:rsidR="004668A2" w:rsidRPr="004668A2" w14:paraId="27D331AE" w14:textId="77777777">
                          <w:trPr>
                            <w:trHeight w:val="75"/>
                            <w:tblCellSpacing w:w="0" w:type="dxa"/>
                            <w:jc w:val="center"/>
                          </w:trPr>
                          <w:tc>
                            <w:tcPr>
                              <w:tcW w:w="0" w:type="auto"/>
                              <w:vAlign w:val="center"/>
                              <w:hideMark/>
                            </w:tcPr>
                            <w:p w14:paraId="05B57468"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c>
                            <w:tcPr>
                              <w:tcW w:w="0" w:type="auto"/>
                              <w:vAlign w:val="center"/>
                              <w:hideMark/>
                            </w:tcPr>
                            <w:p w14:paraId="1D3F7E0B" w14:textId="77777777" w:rsidR="004668A2" w:rsidRPr="004668A2" w:rsidRDefault="004668A2" w:rsidP="004668A2">
                              <w:pPr>
                                <w:spacing w:after="0" w:line="240" w:lineRule="auto"/>
                                <w:rPr>
                                  <w:rFonts w:ascii="Times New Roman" w:eastAsia="Times New Roman" w:hAnsi="Times New Roman" w:cs="Times New Roman"/>
                                  <w:sz w:val="20"/>
                                  <w:szCs w:val="20"/>
                                </w:rPr>
                              </w:pPr>
                            </w:p>
                          </w:tc>
                        </w:tr>
                        <w:tr w:rsidR="004668A2" w:rsidRPr="004668A2" w14:paraId="4C0E823C" w14:textId="77777777">
                          <w:trPr>
                            <w:tblCellSpacing w:w="0" w:type="dxa"/>
                            <w:jc w:val="center"/>
                          </w:trPr>
                          <w:tc>
                            <w:tcPr>
                              <w:tcW w:w="180" w:type="dxa"/>
                              <w:hideMark/>
                            </w:tcPr>
                            <w:p w14:paraId="6C25B733" w14:textId="77777777" w:rsidR="004668A2" w:rsidRPr="004668A2" w:rsidRDefault="004668A2" w:rsidP="004668A2">
                              <w:pPr>
                                <w:spacing w:after="0" w:line="240" w:lineRule="auto"/>
                                <w:rPr>
                                  <w:rFonts w:ascii="Arial" w:eastAsia="Times New Roman" w:hAnsi="Arial" w:cs="Arial"/>
                                  <w:sz w:val="17"/>
                                  <w:szCs w:val="17"/>
                                </w:rPr>
                              </w:pPr>
                              <w:r w:rsidRPr="004668A2">
                                <w:rPr>
                                  <w:rFonts w:ascii="Arial" w:eastAsia="Times New Roman" w:hAnsi="Arial" w:cs="Arial"/>
                                  <w:sz w:val="17"/>
                                  <w:szCs w:val="17"/>
                                </w:rPr>
                                <w:t>•</w:t>
                              </w:r>
                            </w:p>
                          </w:tc>
                          <w:tc>
                            <w:tcPr>
                              <w:tcW w:w="0" w:type="auto"/>
                              <w:vAlign w:val="center"/>
                              <w:hideMark/>
                            </w:tcPr>
                            <w:p w14:paraId="7DF21B4E" w14:textId="39D81193" w:rsidR="004668A2" w:rsidRPr="004668A2" w:rsidRDefault="004668A2" w:rsidP="004668A2">
                              <w:pPr>
                                <w:spacing w:after="0" w:line="240" w:lineRule="auto"/>
                                <w:rPr>
                                  <w:rFonts w:ascii="Arial" w:eastAsia="Times New Roman" w:hAnsi="Arial" w:cs="Arial"/>
                                  <w:sz w:val="17"/>
                                  <w:szCs w:val="17"/>
                                </w:rPr>
                              </w:pPr>
                              <w:r w:rsidRPr="004668A2">
                                <w:rPr>
                                  <w:rFonts w:ascii="Arial" w:eastAsia="Times New Roman" w:hAnsi="Arial" w:cs="Arial"/>
                                  <w:sz w:val="17"/>
                                  <w:szCs w:val="17"/>
                                </w:rPr>
                                <w:t>Accounts in CDs insured by the FDIC are generally limited to $250,000</w:t>
                              </w:r>
                            </w:p>
                          </w:tc>
                        </w:tr>
                        <w:tr w:rsidR="004668A2" w:rsidRPr="004668A2" w14:paraId="21D93A7D" w14:textId="77777777">
                          <w:trPr>
                            <w:trHeight w:val="45"/>
                            <w:tblCellSpacing w:w="0" w:type="dxa"/>
                            <w:jc w:val="center"/>
                          </w:trPr>
                          <w:tc>
                            <w:tcPr>
                              <w:tcW w:w="0" w:type="auto"/>
                              <w:vAlign w:val="center"/>
                              <w:hideMark/>
                            </w:tcPr>
                            <w:p w14:paraId="63A71E39"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c>
                            <w:tcPr>
                              <w:tcW w:w="0" w:type="auto"/>
                              <w:vAlign w:val="center"/>
                              <w:hideMark/>
                            </w:tcPr>
                            <w:p w14:paraId="1D3F562A" w14:textId="77777777" w:rsidR="004668A2" w:rsidRPr="004668A2" w:rsidRDefault="004668A2" w:rsidP="004668A2">
                              <w:pPr>
                                <w:spacing w:after="0" w:line="240" w:lineRule="auto"/>
                                <w:rPr>
                                  <w:rFonts w:ascii="Times New Roman" w:eastAsia="Times New Roman" w:hAnsi="Times New Roman" w:cs="Times New Roman"/>
                                  <w:sz w:val="20"/>
                                  <w:szCs w:val="20"/>
                                </w:rPr>
                              </w:pPr>
                            </w:p>
                          </w:tc>
                        </w:tr>
                        <w:tr w:rsidR="004668A2" w:rsidRPr="004668A2" w14:paraId="32E0E531" w14:textId="77777777">
                          <w:trPr>
                            <w:tblCellSpacing w:w="0" w:type="dxa"/>
                            <w:jc w:val="center"/>
                          </w:trPr>
                          <w:tc>
                            <w:tcPr>
                              <w:tcW w:w="180" w:type="dxa"/>
                              <w:hideMark/>
                            </w:tcPr>
                            <w:p w14:paraId="25A58DDA" w14:textId="77777777" w:rsidR="004668A2" w:rsidRPr="004668A2" w:rsidRDefault="004668A2" w:rsidP="004668A2">
                              <w:pPr>
                                <w:spacing w:after="0" w:line="240" w:lineRule="auto"/>
                                <w:rPr>
                                  <w:rFonts w:ascii="Arial" w:eastAsia="Times New Roman" w:hAnsi="Arial" w:cs="Arial"/>
                                  <w:sz w:val="17"/>
                                  <w:szCs w:val="17"/>
                                </w:rPr>
                              </w:pPr>
                              <w:r w:rsidRPr="004668A2">
                                <w:rPr>
                                  <w:rFonts w:ascii="Arial" w:eastAsia="Times New Roman" w:hAnsi="Arial" w:cs="Arial"/>
                                  <w:sz w:val="17"/>
                                  <w:szCs w:val="17"/>
                                </w:rPr>
                                <w:t>•</w:t>
                              </w:r>
                            </w:p>
                          </w:tc>
                          <w:tc>
                            <w:tcPr>
                              <w:tcW w:w="0" w:type="auto"/>
                              <w:vAlign w:val="center"/>
                              <w:hideMark/>
                            </w:tcPr>
                            <w:p w14:paraId="5B3F9FC3" w14:textId="77777777" w:rsidR="004668A2" w:rsidRPr="004668A2" w:rsidRDefault="004668A2" w:rsidP="004668A2">
                              <w:pPr>
                                <w:spacing w:after="0" w:line="240" w:lineRule="auto"/>
                                <w:rPr>
                                  <w:rFonts w:ascii="Arial" w:eastAsia="Times New Roman" w:hAnsi="Arial" w:cs="Arial"/>
                                  <w:sz w:val="17"/>
                                  <w:szCs w:val="17"/>
                                </w:rPr>
                              </w:pPr>
                              <w:r w:rsidRPr="004668A2">
                                <w:rPr>
                                  <w:rFonts w:ascii="Arial" w:eastAsia="Times New Roman" w:hAnsi="Arial" w:cs="Arial"/>
                                  <w:sz w:val="17"/>
                                  <w:szCs w:val="17"/>
                                </w:rPr>
                                <w:t>Penalties apply on early withdrawals for CDs and Annuities</w:t>
                              </w:r>
                            </w:p>
                          </w:tc>
                        </w:tr>
                        <w:tr w:rsidR="004668A2" w:rsidRPr="004668A2" w14:paraId="6CA031F8" w14:textId="77777777">
                          <w:trPr>
                            <w:trHeight w:val="45"/>
                            <w:tblCellSpacing w:w="0" w:type="dxa"/>
                            <w:jc w:val="center"/>
                          </w:trPr>
                          <w:tc>
                            <w:tcPr>
                              <w:tcW w:w="0" w:type="auto"/>
                              <w:vAlign w:val="center"/>
                              <w:hideMark/>
                            </w:tcPr>
                            <w:p w14:paraId="78C54B1C"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c>
                            <w:tcPr>
                              <w:tcW w:w="0" w:type="auto"/>
                              <w:vAlign w:val="center"/>
                              <w:hideMark/>
                            </w:tcPr>
                            <w:p w14:paraId="43DF67DC" w14:textId="77777777" w:rsidR="004668A2" w:rsidRPr="004668A2" w:rsidRDefault="004668A2" w:rsidP="004668A2">
                              <w:pPr>
                                <w:spacing w:after="0" w:line="240" w:lineRule="auto"/>
                                <w:rPr>
                                  <w:rFonts w:ascii="Times New Roman" w:eastAsia="Times New Roman" w:hAnsi="Times New Roman" w:cs="Times New Roman"/>
                                  <w:sz w:val="20"/>
                                  <w:szCs w:val="20"/>
                                </w:rPr>
                              </w:pPr>
                            </w:p>
                          </w:tc>
                        </w:tr>
                        <w:tr w:rsidR="004668A2" w:rsidRPr="004668A2" w14:paraId="029865F5" w14:textId="77777777">
                          <w:trPr>
                            <w:tblCellSpacing w:w="0" w:type="dxa"/>
                            <w:jc w:val="center"/>
                          </w:trPr>
                          <w:tc>
                            <w:tcPr>
                              <w:tcW w:w="180" w:type="dxa"/>
                              <w:hideMark/>
                            </w:tcPr>
                            <w:p w14:paraId="58A9E922" w14:textId="77777777" w:rsidR="004668A2" w:rsidRPr="004668A2" w:rsidRDefault="004668A2" w:rsidP="004668A2">
                              <w:pPr>
                                <w:spacing w:after="0" w:line="240" w:lineRule="auto"/>
                                <w:rPr>
                                  <w:rFonts w:ascii="Arial" w:eastAsia="Times New Roman" w:hAnsi="Arial" w:cs="Arial"/>
                                  <w:sz w:val="17"/>
                                  <w:szCs w:val="17"/>
                                </w:rPr>
                              </w:pPr>
                              <w:r w:rsidRPr="004668A2">
                                <w:rPr>
                                  <w:rFonts w:ascii="Arial" w:eastAsia="Times New Roman" w:hAnsi="Arial" w:cs="Arial"/>
                                  <w:sz w:val="17"/>
                                  <w:szCs w:val="17"/>
                                </w:rPr>
                                <w:t>•</w:t>
                              </w:r>
                            </w:p>
                          </w:tc>
                          <w:tc>
                            <w:tcPr>
                              <w:tcW w:w="0" w:type="auto"/>
                              <w:vAlign w:val="center"/>
                              <w:hideMark/>
                            </w:tcPr>
                            <w:p w14:paraId="0961A8E1" w14:textId="3127130A" w:rsidR="004668A2" w:rsidRPr="004668A2" w:rsidRDefault="004668A2" w:rsidP="004668A2">
                              <w:pPr>
                                <w:spacing w:after="0" w:line="240" w:lineRule="auto"/>
                                <w:rPr>
                                  <w:rFonts w:ascii="Arial" w:eastAsia="Times New Roman" w:hAnsi="Arial" w:cs="Arial"/>
                                  <w:sz w:val="17"/>
                                  <w:szCs w:val="17"/>
                                </w:rPr>
                              </w:pPr>
                              <w:r w:rsidRPr="004668A2">
                                <w:rPr>
                                  <w:rFonts w:ascii="Arial" w:eastAsia="Times New Roman" w:hAnsi="Arial" w:cs="Arial"/>
                                  <w:sz w:val="17"/>
                                  <w:szCs w:val="17"/>
                                </w:rPr>
                                <w:t>For CDs, the use of joint ownership may avoid probate and state law may allow for a beneficiary designation that avoids probate.</w:t>
                              </w:r>
                            </w:p>
                          </w:tc>
                        </w:tr>
                        <w:tr w:rsidR="004668A2" w:rsidRPr="004668A2" w14:paraId="3FBC16CA" w14:textId="77777777">
                          <w:trPr>
                            <w:trHeight w:val="45"/>
                            <w:tblCellSpacing w:w="0" w:type="dxa"/>
                            <w:jc w:val="center"/>
                          </w:trPr>
                          <w:tc>
                            <w:tcPr>
                              <w:tcW w:w="0" w:type="auto"/>
                              <w:vAlign w:val="center"/>
                              <w:hideMark/>
                            </w:tcPr>
                            <w:p w14:paraId="2B8C0D8B"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c>
                            <w:tcPr>
                              <w:tcW w:w="0" w:type="auto"/>
                              <w:vAlign w:val="center"/>
                              <w:hideMark/>
                            </w:tcPr>
                            <w:p w14:paraId="36F0676A" w14:textId="77777777" w:rsidR="004668A2" w:rsidRPr="004668A2" w:rsidRDefault="004668A2" w:rsidP="004668A2">
                              <w:pPr>
                                <w:spacing w:after="0" w:line="240" w:lineRule="auto"/>
                                <w:rPr>
                                  <w:rFonts w:ascii="Times New Roman" w:eastAsia="Times New Roman" w:hAnsi="Times New Roman" w:cs="Times New Roman"/>
                                  <w:sz w:val="20"/>
                                  <w:szCs w:val="20"/>
                                </w:rPr>
                              </w:pPr>
                            </w:p>
                          </w:tc>
                        </w:tr>
                        <w:tr w:rsidR="004668A2" w:rsidRPr="004668A2" w14:paraId="55114B87" w14:textId="77777777">
                          <w:trPr>
                            <w:tblCellSpacing w:w="0" w:type="dxa"/>
                            <w:jc w:val="center"/>
                          </w:trPr>
                          <w:tc>
                            <w:tcPr>
                              <w:tcW w:w="180" w:type="dxa"/>
                              <w:hideMark/>
                            </w:tcPr>
                            <w:p w14:paraId="2DC30F96" w14:textId="77777777" w:rsidR="004668A2" w:rsidRPr="004668A2" w:rsidRDefault="004668A2" w:rsidP="004668A2">
                              <w:pPr>
                                <w:spacing w:after="0" w:line="240" w:lineRule="auto"/>
                                <w:rPr>
                                  <w:rFonts w:ascii="Arial" w:eastAsia="Times New Roman" w:hAnsi="Arial" w:cs="Arial"/>
                                  <w:sz w:val="17"/>
                                  <w:szCs w:val="17"/>
                                </w:rPr>
                              </w:pPr>
                              <w:r w:rsidRPr="004668A2">
                                <w:rPr>
                                  <w:rFonts w:ascii="Arial" w:eastAsia="Times New Roman" w:hAnsi="Arial" w:cs="Arial"/>
                                  <w:sz w:val="17"/>
                                  <w:szCs w:val="17"/>
                                </w:rPr>
                                <w:t>1.</w:t>
                              </w:r>
                            </w:p>
                          </w:tc>
                          <w:tc>
                            <w:tcPr>
                              <w:tcW w:w="0" w:type="auto"/>
                              <w:vAlign w:val="center"/>
                              <w:hideMark/>
                            </w:tcPr>
                            <w:p w14:paraId="2F39BCEB" w14:textId="77777777" w:rsidR="004668A2" w:rsidRPr="004668A2" w:rsidRDefault="004668A2" w:rsidP="004668A2">
                              <w:pPr>
                                <w:spacing w:after="0" w:line="240" w:lineRule="auto"/>
                                <w:rPr>
                                  <w:rFonts w:ascii="Arial" w:eastAsia="Times New Roman" w:hAnsi="Arial" w:cs="Arial"/>
                                  <w:b/>
                                  <w:bCs/>
                                  <w:sz w:val="17"/>
                                  <w:szCs w:val="17"/>
                                </w:rPr>
                              </w:pPr>
                              <w:r w:rsidRPr="004668A2">
                                <w:rPr>
                                  <w:rFonts w:ascii="Arial" w:eastAsia="Times New Roman" w:hAnsi="Arial" w:cs="Arial"/>
                                  <w:b/>
                                  <w:bCs/>
                                  <w:sz w:val="17"/>
                                  <w:szCs w:val="17"/>
                                </w:rPr>
                                <w:t>Penalties apply on early withdrawals. For annuities significant charges apply during the Surrender Charge Period, which may last for several years. Some annuities offer free withdrawals if the withdrawal does not exceed 10% of the contract value each year. A 10% federal income tax penalty may apply for withdrawals before age 59½.</w:t>
                              </w:r>
                            </w:p>
                          </w:tc>
                        </w:tr>
                        <w:tr w:rsidR="004668A2" w:rsidRPr="004668A2" w14:paraId="617E4DCD" w14:textId="77777777">
                          <w:trPr>
                            <w:trHeight w:val="45"/>
                            <w:tblCellSpacing w:w="0" w:type="dxa"/>
                            <w:jc w:val="center"/>
                          </w:trPr>
                          <w:tc>
                            <w:tcPr>
                              <w:tcW w:w="0" w:type="auto"/>
                              <w:vAlign w:val="center"/>
                              <w:hideMark/>
                            </w:tcPr>
                            <w:p w14:paraId="138B50D0"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c>
                            <w:tcPr>
                              <w:tcW w:w="0" w:type="auto"/>
                              <w:vAlign w:val="center"/>
                              <w:hideMark/>
                            </w:tcPr>
                            <w:p w14:paraId="62A7FC13" w14:textId="77777777" w:rsidR="004668A2" w:rsidRPr="004668A2" w:rsidRDefault="004668A2" w:rsidP="004668A2">
                              <w:pPr>
                                <w:spacing w:after="0" w:line="240" w:lineRule="auto"/>
                                <w:rPr>
                                  <w:rFonts w:ascii="Times New Roman" w:eastAsia="Times New Roman" w:hAnsi="Times New Roman" w:cs="Times New Roman"/>
                                  <w:sz w:val="20"/>
                                  <w:szCs w:val="20"/>
                                </w:rPr>
                              </w:pPr>
                            </w:p>
                          </w:tc>
                        </w:tr>
                        <w:tr w:rsidR="004668A2" w:rsidRPr="004668A2" w14:paraId="142DDE12" w14:textId="77777777">
                          <w:trPr>
                            <w:tblCellSpacing w:w="0" w:type="dxa"/>
                            <w:jc w:val="center"/>
                          </w:trPr>
                          <w:tc>
                            <w:tcPr>
                              <w:tcW w:w="180" w:type="dxa"/>
                              <w:hideMark/>
                            </w:tcPr>
                            <w:p w14:paraId="457B96B3" w14:textId="77777777" w:rsidR="004668A2" w:rsidRPr="004668A2" w:rsidRDefault="004668A2" w:rsidP="004668A2">
                              <w:pPr>
                                <w:spacing w:after="0" w:line="240" w:lineRule="auto"/>
                                <w:rPr>
                                  <w:rFonts w:ascii="Arial" w:eastAsia="Times New Roman" w:hAnsi="Arial" w:cs="Arial"/>
                                  <w:sz w:val="17"/>
                                  <w:szCs w:val="17"/>
                                </w:rPr>
                              </w:pPr>
                              <w:r w:rsidRPr="004668A2">
                                <w:rPr>
                                  <w:rFonts w:ascii="Arial" w:eastAsia="Times New Roman" w:hAnsi="Arial" w:cs="Arial"/>
                                  <w:sz w:val="17"/>
                                  <w:szCs w:val="17"/>
                                </w:rPr>
                                <w:t>2.</w:t>
                              </w:r>
                            </w:p>
                          </w:tc>
                          <w:tc>
                            <w:tcPr>
                              <w:tcW w:w="0" w:type="auto"/>
                              <w:vAlign w:val="center"/>
                              <w:hideMark/>
                            </w:tcPr>
                            <w:p w14:paraId="31513A14" w14:textId="77777777" w:rsidR="004668A2" w:rsidRPr="004668A2" w:rsidRDefault="004668A2" w:rsidP="004668A2">
                              <w:pPr>
                                <w:spacing w:after="0" w:line="240" w:lineRule="auto"/>
                                <w:rPr>
                                  <w:rFonts w:ascii="Arial" w:eastAsia="Times New Roman" w:hAnsi="Arial" w:cs="Arial"/>
                                  <w:b/>
                                  <w:bCs/>
                                  <w:sz w:val="17"/>
                                  <w:szCs w:val="17"/>
                                </w:rPr>
                              </w:pPr>
                              <w:r w:rsidRPr="004668A2">
                                <w:rPr>
                                  <w:rFonts w:ascii="Arial" w:eastAsia="Times New Roman" w:hAnsi="Arial" w:cs="Arial"/>
                                  <w:b/>
                                  <w:bCs/>
                                  <w:sz w:val="17"/>
                                  <w:szCs w:val="17"/>
                                </w:rPr>
                                <w:t>Income and growth on accumulated cash values are deferred until withdrawn.</w:t>
                              </w:r>
                            </w:p>
                          </w:tc>
                        </w:tr>
                        <w:tr w:rsidR="004668A2" w:rsidRPr="004668A2" w14:paraId="682267D8" w14:textId="77777777">
                          <w:trPr>
                            <w:trHeight w:val="45"/>
                            <w:tblCellSpacing w:w="0" w:type="dxa"/>
                            <w:jc w:val="center"/>
                          </w:trPr>
                          <w:tc>
                            <w:tcPr>
                              <w:tcW w:w="0" w:type="auto"/>
                              <w:vAlign w:val="center"/>
                              <w:hideMark/>
                            </w:tcPr>
                            <w:p w14:paraId="3EAD12FC"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c>
                            <w:tcPr>
                              <w:tcW w:w="0" w:type="auto"/>
                              <w:vAlign w:val="center"/>
                              <w:hideMark/>
                            </w:tcPr>
                            <w:p w14:paraId="10BE1B1A" w14:textId="77777777" w:rsidR="004668A2" w:rsidRPr="004668A2" w:rsidRDefault="004668A2" w:rsidP="004668A2">
                              <w:pPr>
                                <w:spacing w:after="0" w:line="240" w:lineRule="auto"/>
                                <w:rPr>
                                  <w:rFonts w:ascii="Times New Roman" w:eastAsia="Times New Roman" w:hAnsi="Times New Roman" w:cs="Times New Roman"/>
                                  <w:sz w:val="20"/>
                                  <w:szCs w:val="20"/>
                                </w:rPr>
                              </w:pPr>
                            </w:p>
                          </w:tc>
                        </w:tr>
                        <w:tr w:rsidR="004668A2" w:rsidRPr="004668A2" w14:paraId="74415301" w14:textId="77777777">
                          <w:trPr>
                            <w:tblCellSpacing w:w="0" w:type="dxa"/>
                            <w:jc w:val="center"/>
                          </w:trPr>
                          <w:tc>
                            <w:tcPr>
                              <w:tcW w:w="180" w:type="dxa"/>
                              <w:hideMark/>
                            </w:tcPr>
                            <w:p w14:paraId="0AF6BA8A" w14:textId="77777777" w:rsidR="004668A2" w:rsidRPr="004668A2" w:rsidRDefault="004668A2" w:rsidP="004668A2">
                              <w:pPr>
                                <w:spacing w:after="0" w:line="240" w:lineRule="auto"/>
                                <w:rPr>
                                  <w:rFonts w:ascii="Arial" w:eastAsia="Times New Roman" w:hAnsi="Arial" w:cs="Arial"/>
                                  <w:sz w:val="17"/>
                                  <w:szCs w:val="17"/>
                                </w:rPr>
                              </w:pPr>
                              <w:r w:rsidRPr="004668A2">
                                <w:rPr>
                                  <w:rFonts w:ascii="Arial" w:eastAsia="Times New Roman" w:hAnsi="Arial" w:cs="Arial"/>
                                  <w:sz w:val="17"/>
                                  <w:szCs w:val="17"/>
                                </w:rPr>
                                <w:t>3.</w:t>
                              </w:r>
                            </w:p>
                          </w:tc>
                          <w:tc>
                            <w:tcPr>
                              <w:tcW w:w="0" w:type="auto"/>
                              <w:vAlign w:val="center"/>
                              <w:hideMark/>
                            </w:tcPr>
                            <w:p w14:paraId="365EF748" w14:textId="431229EB" w:rsidR="004668A2" w:rsidRPr="004668A2" w:rsidRDefault="004668A2" w:rsidP="004668A2">
                              <w:pPr>
                                <w:spacing w:after="0" w:line="240" w:lineRule="auto"/>
                                <w:rPr>
                                  <w:rFonts w:ascii="Arial" w:eastAsia="Times New Roman" w:hAnsi="Arial" w:cs="Arial"/>
                                  <w:b/>
                                  <w:bCs/>
                                  <w:sz w:val="17"/>
                                  <w:szCs w:val="17"/>
                                </w:rPr>
                              </w:pPr>
                              <w:r w:rsidRPr="004668A2">
                                <w:rPr>
                                  <w:rFonts w:ascii="Arial" w:eastAsia="Times New Roman" w:hAnsi="Arial" w:cs="Arial"/>
                                  <w:b/>
                                  <w:bCs/>
                                  <w:sz w:val="17"/>
                                  <w:szCs w:val="17"/>
                                </w:rPr>
                                <w:t xml:space="preserve">For CDs, the use of joint ownership may avoid probate and state law may allow for a beneficiary designation that avoids probate. Proceeds of insurance contracts paid to a named beneficiary generally </w:t>
                              </w:r>
                              <w:r>
                                <w:rPr>
                                  <w:rFonts w:ascii="Arial" w:eastAsia="Times New Roman" w:hAnsi="Arial" w:cs="Arial"/>
                                  <w:b/>
                                  <w:bCs/>
                                  <w:sz w:val="17"/>
                                  <w:szCs w:val="17"/>
                                </w:rPr>
                                <w:t xml:space="preserve">bypass </w:t>
                              </w:r>
                              <w:r w:rsidRPr="004668A2">
                                <w:rPr>
                                  <w:rFonts w:ascii="Arial" w:eastAsia="Times New Roman" w:hAnsi="Arial" w:cs="Arial"/>
                                  <w:b/>
                                  <w:bCs/>
                                  <w:sz w:val="17"/>
                                  <w:szCs w:val="17"/>
                                </w:rPr>
                                <w:t>probat</w:t>
                              </w:r>
                              <w:r>
                                <w:rPr>
                                  <w:rFonts w:ascii="Arial" w:eastAsia="Times New Roman" w:hAnsi="Arial" w:cs="Arial"/>
                                  <w:b/>
                                  <w:bCs/>
                                  <w:sz w:val="17"/>
                                  <w:szCs w:val="17"/>
                                </w:rPr>
                                <w:t>e</w:t>
                              </w:r>
                              <w:r w:rsidRPr="004668A2">
                                <w:rPr>
                                  <w:rFonts w:ascii="Arial" w:eastAsia="Times New Roman" w:hAnsi="Arial" w:cs="Arial"/>
                                  <w:b/>
                                  <w:bCs/>
                                  <w:sz w:val="17"/>
                                  <w:szCs w:val="17"/>
                                </w:rPr>
                                <w:t>; check with your tax advisor. Current U.S. tax laws provide that earnings from an annuity are taxable only upon withdrawal as ordinary income. In contrast, interest earnings from a CD may be taxed annually and at rates that vary depending upon the nature of the earnings and the individual’s tax bracket. Lower maximum tax rates on capital gains and dividends could make the return for the taxable product more favorable, thereby reducing the difference between a taxable product and a tax deferred product.</w:t>
                              </w:r>
                            </w:p>
                          </w:tc>
                        </w:tr>
                        <w:tr w:rsidR="004668A2" w:rsidRPr="004668A2" w14:paraId="5E2BEDE1" w14:textId="77777777">
                          <w:trPr>
                            <w:trHeight w:val="45"/>
                            <w:tblCellSpacing w:w="0" w:type="dxa"/>
                            <w:jc w:val="center"/>
                          </w:trPr>
                          <w:tc>
                            <w:tcPr>
                              <w:tcW w:w="0" w:type="auto"/>
                              <w:vAlign w:val="center"/>
                              <w:hideMark/>
                            </w:tcPr>
                            <w:p w14:paraId="091A4301" w14:textId="77777777" w:rsidR="004668A2" w:rsidRPr="004668A2" w:rsidRDefault="004668A2" w:rsidP="004668A2">
                              <w:pPr>
                                <w:spacing w:after="0" w:line="240" w:lineRule="auto"/>
                                <w:rPr>
                                  <w:rFonts w:ascii="Arial" w:eastAsia="Times New Roman" w:hAnsi="Arial" w:cs="Arial"/>
                                  <w:sz w:val="2"/>
                                  <w:szCs w:val="2"/>
                                </w:rPr>
                              </w:pPr>
                              <w:r w:rsidRPr="004668A2">
                                <w:rPr>
                                  <w:rFonts w:ascii="Arial" w:eastAsia="Times New Roman" w:hAnsi="Arial" w:cs="Arial"/>
                                  <w:sz w:val="2"/>
                                  <w:szCs w:val="2"/>
                                </w:rPr>
                                <w:t> </w:t>
                              </w:r>
                            </w:p>
                          </w:tc>
                          <w:tc>
                            <w:tcPr>
                              <w:tcW w:w="0" w:type="auto"/>
                              <w:vAlign w:val="center"/>
                              <w:hideMark/>
                            </w:tcPr>
                            <w:p w14:paraId="4F8937BB" w14:textId="77777777" w:rsidR="004668A2" w:rsidRPr="004668A2" w:rsidRDefault="004668A2" w:rsidP="004668A2">
                              <w:pPr>
                                <w:spacing w:after="0" w:line="240" w:lineRule="auto"/>
                                <w:rPr>
                                  <w:rFonts w:ascii="Times New Roman" w:eastAsia="Times New Roman" w:hAnsi="Times New Roman" w:cs="Times New Roman"/>
                                  <w:sz w:val="20"/>
                                  <w:szCs w:val="20"/>
                                </w:rPr>
                              </w:pPr>
                            </w:p>
                          </w:tc>
                        </w:tr>
                        <w:tr w:rsidR="004668A2" w:rsidRPr="004668A2" w14:paraId="16A4FA75" w14:textId="77777777">
                          <w:trPr>
                            <w:tblCellSpacing w:w="0" w:type="dxa"/>
                            <w:jc w:val="center"/>
                          </w:trPr>
                          <w:tc>
                            <w:tcPr>
                              <w:tcW w:w="0" w:type="auto"/>
                              <w:gridSpan w:val="2"/>
                              <w:vAlign w:val="center"/>
                              <w:hideMark/>
                            </w:tcPr>
                            <w:p w14:paraId="5651AE9F" w14:textId="23407646" w:rsidR="004668A2" w:rsidRPr="004668A2" w:rsidRDefault="004668A2" w:rsidP="004668A2">
                              <w:pPr>
                                <w:spacing w:after="0" w:line="240" w:lineRule="auto"/>
                                <w:rPr>
                                  <w:rFonts w:ascii="Arial" w:eastAsia="Times New Roman" w:hAnsi="Arial" w:cs="Arial"/>
                                  <w:b/>
                                  <w:bCs/>
                                  <w:sz w:val="17"/>
                                  <w:szCs w:val="17"/>
                                </w:rPr>
                              </w:pPr>
                              <w:r>
                                <w:rPr>
                                  <w:rFonts w:ascii="Arial" w:eastAsia="Times New Roman" w:hAnsi="Arial" w:cs="Arial"/>
                                  <w:b/>
                                  <w:bCs/>
                                  <w:sz w:val="17"/>
                                  <w:szCs w:val="17"/>
                                </w:rPr>
                                <w:t xml:space="preserve">Farmer &amp; Associates does not </w:t>
                              </w:r>
                              <w:r w:rsidRPr="004668A2">
                                <w:rPr>
                                  <w:rFonts w:ascii="Arial" w:eastAsia="Times New Roman" w:hAnsi="Arial" w:cs="Arial"/>
                                  <w:b/>
                                  <w:bCs/>
                                  <w:sz w:val="17"/>
                                  <w:szCs w:val="17"/>
                                </w:rPr>
                                <w:t>give tax advice. Clients should contact their attorney or tax advisor on their specific situation.</w:t>
                              </w:r>
                            </w:p>
                          </w:tc>
                        </w:tr>
                      </w:tbl>
                      <w:p w14:paraId="5229152C" w14:textId="77777777" w:rsidR="004668A2" w:rsidRPr="004668A2" w:rsidRDefault="004668A2" w:rsidP="004668A2">
                        <w:pPr>
                          <w:spacing w:after="0" w:line="240" w:lineRule="auto"/>
                          <w:rPr>
                            <w:rFonts w:ascii="Arial" w:eastAsia="Times New Roman" w:hAnsi="Arial" w:cs="Arial"/>
                            <w:sz w:val="24"/>
                            <w:szCs w:val="24"/>
                          </w:rPr>
                        </w:pPr>
                      </w:p>
                    </w:tc>
                  </w:tr>
                </w:tbl>
                <w:p w14:paraId="570F8B73" w14:textId="77777777" w:rsidR="004668A2" w:rsidRPr="004668A2" w:rsidRDefault="004668A2" w:rsidP="004668A2">
                  <w:pPr>
                    <w:spacing w:after="0" w:line="240" w:lineRule="auto"/>
                    <w:rPr>
                      <w:rFonts w:ascii="Times New Roman" w:eastAsia="Times New Roman" w:hAnsi="Times New Roman" w:cs="Times New Roman"/>
                      <w:sz w:val="24"/>
                      <w:szCs w:val="24"/>
                    </w:rPr>
                  </w:pPr>
                </w:p>
              </w:tc>
            </w:tr>
          </w:tbl>
          <w:p w14:paraId="79A97909" w14:textId="77777777" w:rsidR="004668A2" w:rsidRPr="004668A2" w:rsidRDefault="004668A2" w:rsidP="004668A2">
            <w:pPr>
              <w:spacing w:after="0" w:line="240" w:lineRule="auto"/>
              <w:rPr>
                <w:rFonts w:ascii="Arial" w:eastAsia="Times New Roman" w:hAnsi="Arial" w:cs="Arial"/>
                <w:color w:val="212121"/>
                <w:sz w:val="23"/>
                <w:szCs w:val="23"/>
              </w:rPr>
            </w:pPr>
          </w:p>
        </w:tc>
      </w:tr>
    </w:tbl>
    <w:p w14:paraId="31244886" w14:textId="3028D48D" w:rsidR="004668A2" w:rsidRPr="004668A2" w:rsidRDefault="004668A2" w:rsidP="004668A2">
      <w:pPr>
        <w:jc w:val="center"/>
        <w:rPr>
          <w:sz w:val="32"/>
          <w:szCs w:val="32"/>
        </w:rPr>
      </w:pPr>
    </w:p>
    <w:sectPr w:rsidR="004668A2" w:rsidRPr="0046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A2"/>
    <w:rsid w:val="00114D5B"/>
    <w:rsid w:val="002B4252"/>
    <w:rsid w:val="004668A2"/>
    <w:rsid w:val="00A45448"/>
    <w:rsid w:val="00AC069A"/>
    <w:rsid w:val="00D5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E7C7"/>
  <w15:chartTrackingRefBased/>
  <w15:docId w15:val="{1EB66730-A709-4F24-BC6E-84E6DA2F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8A2"/>
    <w:rPr>
      <w:color w:val="0563C1" w:themeColor="hyperlink"/>
      <w:u w:val="single"/>
    </w:rPr>
  </w:style>
  <w:style w:type="character" w:styleId="UnresolvedMention">
    <w:name w:val="Unresolved Mention"/>
    <w:basedOn w:val="DefaultParagraphFont"/>
    <w:uiPriority w:val="99"/>
    <w:semiHidden/>
    <w:unhideWhenUsed/>
    <w:rsid w:val="004668A2"/>
    <w:rPr>
      <w:color w:val="605E5C"/>
      <w:shd w:val="clear" w:color="auto" w:fill="E1DFDD"/>
    </w:rPr>
  </w:style>
  <w:style w:type="paragraph" w:styleId="BalloonText">
    <w:name w:val="Balloon Text"/>
    <w:basedOn w:val="Normal"/>
    <w:link w:val="BalloonTextChar"/>
    <w:uiPriority w:val="99"/>
    <w:semiHidden/>
    <w:unhideWhenUsed/>
    <w:rsid w:val="00D53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Farmer</dc:creator>
  <cp:keywords/>
  <dc:description/>
  <cp:lastModifiedBy>Joe Niedzielski</cp:lastModifiedBy>
  <cp:revision>2</cp:revision>
  <dcterms:created xsi:type="dcterms:W3CDTF">2019-03-22T17:22:00Z</dcterms:created>
  <dcterms:modified xsi:type="dcterms:W3CDTF">2019-03-22T17:22:00Z</dcterms:modified>
</cp:coreProperties>
</file>